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
      </w:pPr>
      <w:r>
        <w:rPr>
          <w:b/>
          <w:bCs/>
          <w:color w:val="1F3864"/>
          <w:sz w:val="40"/>
          <w:szCs w:val="40"/>
        </w:rPr>
        <w:t xml:space="preserve">The First 90 Days of a Marketing Transformation</w:t>
      </w:r>
    </w:p>
    <w:p>
      <w:pPr>
        <w:spacing w:after="140"/>
      </w:pPr>
      <w:r>
        <w:rPr>
          <w:i/>
          <w:iCs/>
          <w:color w:val="2E8B9E"/>
          <w:sz w:val="22"/>
          <w:szCs w:val="22"/>
        </w:rPr>
        <w:t xml:space="preserve">A modular assessment for senior marketing leaders, their CEOs, and their sponsors</w:t>
      </w:r>
    </w:p>
    <w:p>
      <w:pPr>
        <w:spacing w:after="120" w:line="264"/>
      </w:pPr>
      <w:r>
        <w:t xml:space="preserve">A CMO new to the role, or one leading a marketing transformation, gets about 90 days to assess the team and set a strategy leadership will trust. That means reading the current state of customer data, the technology stack, vendor and agency contracts, and team skills, all while still operating and delivering on marketing already in motion. You can’t stop the business to study it.</w:t>
      </w:r>
    </w:p>
    <w:p>
      <w:pPr>
        <w:spacing w:after="120" w:line="264"/>
      </w:pPr>
      <w:r>
        <w:t xml:space="preserve">The heaviest lift is gathering unbiased context across the capabilities that matter most. These leaders need a senior, outside point of view to pair with their own. Internal resources rarely have the time or experience, and big-firm consulting runs into six figures and hands back generic best practices with none of your context. This assessment compresses that work into a disciplined, repeatable process, and it’s modular, so you scope it to what you actually need.</w:t>
      </w:r>
    </w:p>
    <w:p>
      <w:pPr>
        <w:pStyle w:val="Heading1"/>
      </w:pPr>
      <w:r>
        <w:t xml:space="preserve">What you walk away with</w:t>
      </w:r>
    </w:p>
    <w:p>
      <w:pPr>
        <w:spacing w:after="120" w:line="264"/>
      </w:pPr>
      <w:r>
        <w:t xml:space="preserve">A board-ready map of your marketing function: maturity scores across the capabilities you assess, key investments ranked and sequenced, the quick wins worth taking now, and the budget implications of each. You walk into the day-90 board conversation with a defensible plan, not a wish list.</w:t>
      </w:r>
    </w:p>
    <w:p>
      <w:pPr>
        <w:pStyle w:val="Heading1"/>
      </w:pPr>
      <w:r>
        <w:t xml:space="preserve">Start with alignment</w:t>
      </w:r>
    </w:p>
    <w:p>
      <w:pPr>
        <w:spacing w:after="120" w:line="264"/>
      </w:pPr>
      <w:r>
        <w:t xml:space="preserve">Every engagement opens with a two-week leadership alignment sprint across marketing, sales, IT, finance, and the CEO. It surfaces where the executive team agrees on what marketing must deliver, and where it doesn’t. You get a usable read-out in week two, not week twelve, so you can drive those conversations while the rest of the assessment runs. Cross-functional misalignment is one of the biggest risks to any marketing initiative; identifying and solving for it early will reduce friction later.</w:t>
      </w:r>
    </w:p>
    <w:p>
      <w:pPr>
        <w:pStyle w:val="Heading1"/>
      </w:pPr>
      <w:r>
        <w:t xml:space="preserve">Choose your modules</w:t>
      </w:r>
    </w:p>
    <w:p>
      <w:pPr>
        <w:spacing w:after="120" w:line="264"/>
      </w:pPr>
      <w:r>
        <w:t xml:space="preserve">After alignment, you select the areas to assess. Each maps to a layer of our marketing and sales reference architecture, so the boundaries stay clear. They’re numbered in the order we’d generally run them; we can engage on all of them, or focus on the one or two that matter most now.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FFFFFF" w:sz="4"/>
              <w:left w:val="single" w:color="FFFFFF" w:sz="4"/>
              <w:bottom w:val="single" w:color="FFFFFF" w:sz="4"/>
              <w:right w:val="single" w:color="FFFFFF" w:sz="4"/>
            </w:tcBorders>
            <w:shd w:fill="1F3864" w:val="clear"/>
            <w:tcMar>
              <w:top w:type="dxa" w:w="70"/>
              <w:left w:type="dxa" w:w="140"/>
              <w:bottom w:type="dxa" w:w="70"/>
              <w:right w:type="dxa" w:w="140"/>
            </w:tcMar>
          </w:tcPr>
          <w:p>
            <w:pPr>
              <w:spacing w:after="40"/>
            </w:pPr>
            <w:r>
              <w:rPr>
                <w:b/>
                <w:bCs/>
                <w:color w:val="FFFFFF"/>
                <w:sz w:val="21"/>
                <w:szCs w:val="21"/>
              </w:rPr>
              <w:t xml:space="preserve">1. Leadership alignment</w:t>
            </w:r>
            <w:r>
              <w:rPr>
                <w:i/>
                <w:iCs/>
                <w:color w:val="D5E1EC"/>
                <w:sz w:val="17"/>
                <w:szCs w:val="17"/>
              </w:rPr>
              <w:t xml:space="preserve">  always first, two weeks</w:t>
            </w:r>
          </w:p>
          <w:p>
            <w:r>
              <w:rPr>
                <w:color w:val="D5E1EC"/>
                <w:sz w:val="18"/>
                <w:szCs w:val="18"/>
              </w:rPr>
              <w:t xml:space="preserve">Executive alignment across marketing, sales, IT, finance, and the CEO on what marketing must deliver.</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2. </w:t>
            </w:r>
            <w:r>
              <w:rPr>
                <w:b/>
                <w:bCs/>
                <w:color w:val="1F3864"/>
                <w:sz w:val="21"/>
                <w:szCs w:val="21"/>
              </w:rPr>
              <w:t xml:space="preserve">Customer data foundation</w:t>
            </w:r>
          </w:p>
          <w:p>
            <w:r>
              <w:rPr>
                <w:color w:val="595959"/>
                <w:sz w:val="18"/>
                <w:szCs w:val="18"/>
              </w:rPr>
              <w:t xml:space="preserve">Source systems, data foundation, semantic layer, and identity resolution.</w:t>
            </w:r>
          </w:p>
        </w:tc>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3. </w:t>
            </w:r>
            <w:r>
              <w:rPr>
                <w:b/>
                <w:bCs/>
                <w:color w:val="1F3864"/>
                <w:sz w:val="21"/>
                <w:szCs w:val="21"/>
              </w:rPr>
              <w:t xml:space="preserve">Intelligence, segmentation &amp; AI readiness</w:t>
            </w:r>
          </w:p>
          <w:p>
            <w:r>
              <w:rPr>
                <w:color w:val="595959"/>
                <w:sz w:val="18"/>
                <w:szCs w:val="18"/>
              </w:rPr>
              <w:t xml:space="preserve">Analytics, customer insights, predictive models, and readiness for AI and agent-driven marketing.</w:t>
            </w:r>
          </w:p>
        </w:tc>
      </w:tr>
      <w:tr>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4. </w:t>
            </w:r>
            <w:r>
              <w:rPr>
                <w:b/>
                <w:bCs/>
                <w:color w:val="1F3864"/>
                <w:sz w:val="21"/>
                <w:szCs w:val="21"/>
              </w:rPr>
              <w:t xml:space="preserve">Marketing &amp; engagement technology</w:t>
            </w:r>
          </w:p>
          <w:p>
            <w:r>
              <w:rPr>
                <w:color w:val="595959"/>
                <w:sz w:val="18"/>
                <w:szCs w:val="18"/>
              </w:rPr>
              <w:t xml:space="preserve">Marketing automation, engagement, decisioning, and orchestration.</w:t>
            </w:r>
          </w:p>
        </w:tc>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5. </w:t>
            </w:r>
            <w:r>
              <w:rPr>
                <w:b/>
                <w:bCs/>
                <w:color w:val="1F3864"/>
                <w:sz w:val="21"/>
                <w:szCs w:val="21"/>
              </w:rPr>
              <w:t xml:space="preserve">Ad tech &amp; paid media</w:t>
            </w:r>
          </w:p>
          <w:p>
            <w:r>
              <w:rPr>
                <w:color w:val="595959"/>
                <w:sz w:val="18"/>
                <w:szCs w:val="18"/>
              </w:rPr>
              <w:t xml:space="preserve">The paid media and ad-tech stack and how it connects to first-party data.</w:t>
            </w:r>
          </w:p>
        </w:tc>
      </w:tr>
      <w:tr>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6. </w:t>
            </w:r>
            <w:r>
              <w:rPr>
                <w:b/>
                <w:bCs/>
                <w:color w:val="1F3864"/>
                <w:sz w:val="21"/>
                <w:szCs w:val="21"/>
              </w:rPr>
              <w:t xml:space="preserve">Site &amp; digital experience</w:t>
            </w:r>
          </w:p>
          <w:p>
            <w:r>
              <w:rPr>
                <w:color w:val="595959"/>
                <w:sz w:val="18"/>
                <w:szCs w:val="18"/>
              </w:rPr>
              <w:t xml:space="preserve">Web, commerce, content, and digital experience technology.</w:t>
            </w:r>
          </w:p>
        </w:tc>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7. </w:t>
            </w:r>
            <w:r>
              <w:rPr>
                <w:b/>
                <w:bCs/>
                <w:color w:val="1F3864"/>
                <w:sz w:val="21"/>
                <w:szCs w:val="21"/>
              </w:rPr>
              <w:t xml:space="preserve">Measurement &amp; attribution</w:t>
            </w:r>
          </w:p>
          <w:p>
            <w:r>
              <w:rPr>
                <w:color w:val="595959"/>
                <w:sz w:val="18"/>
                <w:szCs w:val="18"/>
              </w:rPr>
              <w:t xml:space="preserve">Marketing measurement, attribution, and reporting discipline.</w:t>
            </w:r>
          </w:p>
        </w:tc>
      </w:tr>
      <w:tr>
        <w:tc>
          <w:tcPr>
            <w:tcW w:type="dxa" w:w="4680"/>
            <w:tcBorders>
              <w:top w:val="single" w:color="FFFFFF" w:sz="4"/>
              <w:left w:val="single" w:color="FFFFFF" w:sz="4"/>
              <w:bottom w:val="single" w:color="FFFFFF" w:sz="4"/>
              <w:right w:val="single" w:color="FFFFFF" w:sz="4"/>
            </w:tcBorders>
            <w:shd w:fill="EAF1F4" w:val="clear"/>
            <w:tcMar>
              <w:top w:type="dxa" w:w="70"/>
              <w:left w:type="dxa" w:w="140"/>
              <w:bottom w:type="dxa" w:w="70"/>
              <w:right w:type="dxa" w:w="140"/>
            </w:tcMar>
          </w:tcPr>
          <w:p>
            <w:pPr>
              <w:spacing w:after="40"/>
            </w:pPr>
            <w:r>
              <w:rPr>
                <w:b/>
                <w:bCs/>
                <w:color w:val="2E8B9E"/>
                <w:sz w:val="21"/>
                <w:szCs w:val="21"/>
              </w:rPr>
              <w:t xml:space="preserve">8. </w:t>
            </w:r>
            <w:r>
              <w:rPr>
                <w:b/>
                <w:bCs/>
                <w:color w:val="1F3864"/>
                <w:sz w:val="21"/>
                <w:szCs w:val="21"/>
              </w:rPr>
              <w:t xml:space="preserve">Team &amp; organization design</w:t>
            </w:r>
          </w:p>
          <w:p>
            <w:r>
              <w:rPr>
                <w:color w:val="595959"/>
                <w:sz w:val="18"/>
                <w:szCs w:val="18"/>
              </w:rPr>
              <w:t xml:space="preserve">Structure, skills, and operating model against where the function needs to go.</w:t>
            </w:r>
          </w:p>
        </w:tc>
        <w:tc>
          <w:tcPr>
            <w:tcW w:type="dxa" w:w="4680"/>
            <w:tcBorders>
              <w:top w:val="single" w:color="FFFFFF" w:sz="4"/>
              <w:left w:val="single" w:color="FFFFFF" w:sz="4"/>
              <w:bottom w:val="single" w:color="FFFFFF" w:sz="4"/>
              <w:right w:val="single" w:color="FFFFFF" w:sz="4"/>
            </w:tcBorders>
            <w:shd w:fill="F2EFE6" w:val="clear"/>
            <w:tcMar>
              <w:top w:type="dxa" w:w="70"/>
              <w:left w:type="dxa" w:w="140"/>
              <w:bottom w:type="dxa" w:w="70"/>
              <w:right w:type="dxa" w:w="140"/>
            </w:tcMar>
          </w:tcPr>
          <w:p>
            <w:pPr>
              <w:spacing w:after="40"/>
            </w:pPr>
            <w:r>
              <w:rPr>
                <w:b/>
                <w:bCs/>
                <w:color w:val="2E8B9E"/>
                <w:sz w:val="21"/>
                <w:szCs w:val="21"/>
              </w:rPr>
              <w:t xml:space="preserve">9. </w:t>
            </w:r>
            <w:r>
              <w:rPr>
                <w:b/>
                <w:bCs/>
                <w:color w:val="1F3864"/>
                <w:sz w:val="21"/>
                <w:szCs w:val="21"/>
              </w:rPr>
              <w:t xml:space="preserve">Agency review</w:t>
            </w:r>
            <w:r>
              <w:rPr>
                <w:i/>
                <w:iCs/>
                <w:color w:val="595959"/>
                <w:sz w:val="17"/>
                <w:szCs w:val="17"/>
              </w:rPr>
              <w:t xml:space="preserve">  (optional)</w:t>
            </w:r>
          </w:p>
          <w:p>
            <w:r>
              <w:rPr>
                <w:color w:val="595959"/>
                <w:sz w:val="18"/>
                <w:szCs w:val="18"/>
              </w:rPr>
              <w:t xml:space="preserve">Agency roster, scope, and the value being delivered for the spend.</w:t>
            </w:r>
          </w:p>
        </w:tc>
      </w:tr>
    </w:tbl>
    <w:p>
      <w:pPr>
        <w:spacing w:after="120"/>
      </w:pPr>
    </w:p>
    <w:p>
      <w:pPr>
        <w:pStyle w:val="Heading1"/>
        <w:pageBreakBefore/>
      </w:pPr>
      <w:r>
        <w:t xml:space="preserve">How it works</w:t>
      </w:r>
    </w:p>
    <w:p>
      <w:pPr>
        <w:spacing w:after="120" w:line="264"/>
      </w:pPr>
      <w:r>
        <w:rPr>
          <w:b/>
          <w:bCs/>
        </w:rPr>
        <w:t xml:space="preserve">Align (Weeks 1-2). </w:t>
      </w:r>
      <w:r>
        <w:t xml:space="preserve">Stakeholder surveys and interviews across marketing, sales, IT, finance, and the executive team. Read-out: where leadership agrees, where it doesn’t, and what that means for the plan.</w:t>
      </w:r>
    </w:p>
    <w:p>
      <w:pPr>
        <w:spacing w:after="120" w:line="264"/>
      </w:pPr>
      <w:r>
        <w:rPr>
          <w:b/>
          <w:bCs/>
        </w:rPr>
        <w:t xml:space="preserve">Inventory and assess (Weeks 3-8). </w:t>
      </w:r>
      <w:r>
        <w:t xml:space="preserve">For each module you select, capabilities are inventoried and scored against a defined maturity scale, with red flags and quick wins documented as they surface. The number of modules you choose determines the timeframe.</w:t>
      </w:r>
    </w:p>
    <w:p>
      <w:pPr>
        <w:spacing w:after="120" w:line="264"/>
      </w:pPr>
      <w:r>
        <w:rPr>
          <w:b/>
          <w:bCs/>
        </w:rPr>
        <w:t xml:space="preserve">Decide (Weeks 9-12). </w:t>
      </w:r>
      <w:r>
        <w:t xml:space="preserve">Investment sequencing, a 12-month roadmap, and the board deliverable, built with you, not handed to you.</w:t>
      </w:r>
    </w:p>
    <w:p>
      <w:pPr>
        <w:spacing w:after="120" w:line="264"/>
      </w:pPr>
      <w:r>
        <w:rPr>
          <w:b/>
          <w:bCs/>
        </w:rPr>
        <w:t xml:space="preserve">Read-outs between each step. </w:t>
      </w:r>
      <w:r>
        <w:t xml:space="preserve">You get a working read-out at the end of every module, not one reveal at week twelve, so you can act on it immediately, inform the decisions you’re already making, and adjust the scope of what comes next.</w:t>
      </w:r>
    </w:p>
    <w:p>
      <w:pPr>
        <w:pStyle w:val="Heading1"/>
      </w:pPr>
      <w:r>
        <w:t xml:space="preserve">Why sequencing is the difference</w:t>
      </w:r>
    </w:p>
    <w:p>
      <w:pPr>
        <w:spacing w:after="120" w:line="264"/>
      </w:pPr>
      <w:r>
        <w:t xml:space="preserve">Mistakes in sequencing are expensive and can derail a leader’s agenda. Put the technology decision ahead of the strategic prerequisites and a multi-million-dollar investment can stall before it delivers. Sequence the data foundation ahead of the platforms that depend on it and the same dollars compound. Leaders need early wins that build momentum and a roadmap that carries conviction but stays flexible enough to adjust over time. The order of investment is the difference, and ROI proven at each step is what unlocks the next round across the organization.</w:t>
      </w:r>
    </w:p>
    <w:p>
      <w:pPr>
        <w:pStyle w:val="Heading1"/>
      </w:pPr>
      <w:r>
        <w:t xml:space="preserve">The engagement</w:t>
      </w:r>
    </w:p>
    <w:p>
      <w:pPr>
        <w:spacing w:after="120" w:line="264"/>
      </w:pPr>
      <w:r>
        <w:t xml:space="preserve">Modular and fixed-fee, scoped before we start. Begin with the alignment sprint, add the modules you need, and expand later if priorities change. For clients who continue into a monthly advisory retainer, the assessment counts as your opening block of advisory work, not a separate line item on top of it. Note for PE sponsors: the same assessment can be run as a pre-close or post-close diagnostic, and does not require you to have a CMO in role.</w:t>
      </w:r>
    </w:p>
    <w:p>
      <w:pPr>
        <w:pStyle w:val="Heading1"/>
      </w:pPr>
      <w:r>
        <w:t xml:space="preserve">Why Bentley Strategy?</w:t>
      </w:r>
    </w:p>
    <w:p>
      <w:pPr>
        <w:spacing w:after="120" w:line="264"/>
      </w:pPr>
      <w:r>
        <w:t xml:space="preserve">A senior operator, not a generalist consultant. I pair the strategic clarity of an advisor with the credibility of someone who has built these capabilities at scale, at Staples, Microsoft, and AT&amp;T. The point of view is unbiased and vendor-agnostic: the recommendation serves your growth, not a platform sale. The goal is to turn customer intelligence into measurable, sustainable growth, faster than your team could on its own.</w:t>
      </w:r>
    </w:p>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rPr>
          <w:cantSplit/>
        </w:trPr>
        <w:tc>
          <w:tcPr>
            <w:tcW w:type="dxa" w:w="2340"/>
            <w:tcBorders>
              <w:top w:val="single" w:color="FFFFFF" w:sz="4"/>
              <w:left w:val="single" w:color="FFFFFF" w:sz="4"/>
              <w:bottom w:val="single" w:color="FFFFFF" w:sz="4"/>
              <w:right w:val="single" w:color="FFFFFF" w:sz="4"/>
            </w:tcBorders>
            <w:shd w:fill="EAF1F4" w:val="clear"/>
            <w:tcMar>
              <w:top w:type="dxa" w:w="120"/>
              <w:left w:type="dxa" w:w="120"/>
              <w:bottom w:type="dxa" w:w="120"/>
              <w:right w:type="dxa" w:w="120"/>
            </w:tcMar>
          </w:tcPr>
          <w:p>
            <w:pPr>
              <w:spacing w:after="40"/>
            </w:pPr>
            <w:r>
              <w:rPr>
                <w:b/>
                <w:bCs/>
                <w:color w:val="1F3864"/>
                <w:sz w:val="28"/>
                <w:szCs w:val="28"/>
              </w:rPr>
              <w:t xml:space="preserve">4× ROI</w:t>
            </w:r>
          </w:p>
          <w:p>
            <w:r>
              <w:rPr>
                <w:color w:val="595959"/>
                <w:sz w:val="16"/>
                <w:szCs w:val="16"/>
              </w:rPr>
              <w:t xml:space="preserve">CEO-sponsored personalization at a Fortune 500 retailer, $13M+ annual EBITDA growth.</w:t>
            </w:r>
          </w:p>
        </w:tc>
        <w:tc>
          <w:tcPr>
            <w:tcW w:type="dxa" w:w="2340"/>
            <w:tcBorders>
              <w:top w:val="single" w:color="FFFFFF" w:sz="4"/>
              <w:left w:val="single" w:color="FFFFFF" w:sz="4"/>
              <w:bottom w:val="single" w:color="FFFFFF" w:sz="4"/>
              <w:right w:val="single" w:color="FFFFFF" w:sz="4"/>
            </w:tcBorders>
            <w:shd w:fill="EAF1F4" w:val="clear"/>
            <w:tcMar>
              <w:top w:type="dxa" w:w="120"/>
              <w:left w:type="dxa" w:w="120"/>
              <w:bottom w:type="dxa" w:w="120"/>
              <w:right w:type="dxa" w:w="120"/>
            </w:tcMar>
          </w:tcPr>
          <w:p>
            <w:pPr>
              <w:spacing w:after="40"/>
            </w:pPr>
            <w:r>
              <w:rPr>
                <w:b/>
                <w:bCs/>
                <w:color w:val="1F3864"/>
                <w:sz w:val="28"/>
                <w:szCs w:val="28"/>
              </w:rPr>
              <w:t xml:space="preserve">87% lower cost</w:t>
            </w:r>
          </w:p>
          <w:p>
            <w:r>
              <w:rPr>
                <w:color w:val="595959"/>
                <w:sz w:val="16"/>
                <w:szCs w:val="16"/>
              </w:rPr>
              <w:t xml:space="preserve">Martech and operations consolidation at a major tech company, with 20× volume.</w:t>
            </w:r>
          </w:p>
        </w:tc>
        <w:tc>
          <w:tcPr>
            <w:tcW w:type="dxa" w:w="2340"/>
            <w:tcBorders>
              <w:top w:val="single" w:color="FFFFFF" w:sz="4"/>
              <w:left w:val="single" w:color="FFFFFF" w:sz="4"/>
              <w:bottom w:val="single" w:color="FFFFFF" w:sz="4"/>
              <w:right w:val="single" w:color="FFFFFF" w:sz="4"/>
            </w:tcBorders>
            <w:shd w:fill="EAF1F4" w:val="clear"/>
            <w:tcMar>
              <w:top w:type="dxa" w:w="120"/>
              <w:left w:type="dxa" w:w="120"/>
              <w:bottom w:type="dxa" w:w="120"/>
              <w:right w:type="dxa" w:w="120"/>
            </w:tcMar>
          </w:tcPr>
          <w:p>
            <w:pPr>
              <w:spacing w:after="40"/>
            </w:pPr>
            <w:r>
              <w:rPr>
                <w:b/>
                <w:bCs/>
                <w:color w:val="1F3864"/>
                <w:sz w:val="28"/>
                <w:szCs w:val="28"/>
              </w:rPr>
              <w:t xml:space="preserve">40+ brands</w:t>
            </w:r>
          </w:p>
          <w:p>
            <w:r>
              <w:rPr>
                <w:color w:val="595959"/>
                <w:sz w:val="16"/>
                <w:szCs w:val="16"/>
              </w:rPr>
              <w:t xml:space="preserve">Across technology, retail, telecom, energy, travel, financial services, and healthcare.</w:t>
            </w:r>
          </w:p>
        </w:tc>
        <w:tc>
          <w:tcPr>
            <w:tcW w:type="dxa" w:w="2340"/>
            <w:tcBorders>
              <w:top w:val="single" w:color="FFFFFF" w:sz="4"/>
              <w:left w:val="single" w:color="FFFFFF" w:sz="4"/>
              <w:bottom w:val="single" w:color="FFFFFF" w:sz="4"/>
              <w:right w:val="single" w:color="FFFFFF" w:sz="4"/>
            </w:tcBorders>
            <w:shd w:fill="EAF1F4" w:val="clear"/>
            <w:tcMar>
              <w:top w:type="dxa" w:w="120"/>
              <w:left w:type="dxa" w:w="120"/>
              <w:bottom w:type="dxa" w:w="120"/>
              <w:right w:type="dxa" w:w="120"/>
            </w:tcMar>
          </w:tcPr>
          <w:p>
            <w:pPr>
              <w:spacing w:after="40"/>
            </w:pPr>
            <w:r>
              <w:rPr>
                <w:b/>
                <w:bCs/>
                <w:color w:val="1F3864"/>
                <w:sz w:val="28"/>
                <w:szCs w:val="28"/>
              </w:rPr>
              <w:t xml:space="preserve">10+ agencies</w:t>
            </w:r>
          </w:p>
          <w:p>
            <w:r>
              <w:rPr>
                <w:color w:val="595959"/>
                <w:sz w:val="16"/>
                <w:szCs w:val="16"/>
              </w:rPr>
              <w:t xml:space="preserve">Orchestrated as client-services lead for a Fortune 20 advertiser.</w:t>
            </w:r>
          </w:p>
        </w:tc>
      </w:tr>
    </w:tbl>
    <w:sectPr>
      <w:headerReference w:type="default" r:id="rId7"/>
      <w:footerReference w:type="default" r:id="rId8"/>
      <w:pgSz w:w="12240" w:h="15840" w:orient="portrait"/>
      <w:pgMar w:top="1480" w:right="1080" w:bottom="980" w:left="1080" w:header="288" w:footer="36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6" w:space="6"/>
      </w:pBdr>
      <w:spacing w:before="60"/>
      <w:jc w:val="center"/>
    </w:pPr>
    <w:r>
      <w:rPr>
        <w:b/>
        <w:bCs/>
        <w:color w:val="2E8B9E"/>
        <w:sz w:val="18"/>
        <w:szCs w:val="18"/>
      </w:rPr>
      <w:t xml:space="preserve">bentleystrategy.com</w:t>
    </w:r>
    <w:r>
      <w:rPr>
        <w:color w:val="595959"/>
        <w:sz w:val="18"/>
        <w:szCs w:val="18"/>
      </w:rPr>
      <w:t xml:space="preserve">    rob@bentleystrategy.com    214.620.0285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right"/>
    </w:pPr>
    <w:r>
      <w:drawing>
        <wp:inline distT="0" distB="0" distL="0" distR="0">
          <wp:extent cx="1162050" cy="781050"/>
          <wp:effectExtent t="0" r="0" b="0" l="0"/>
          <wp:docPr id="1" name="Bentley Strategy logo" descr="Bentley Strategy logo" title="Bentley Strate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62050" cy="7810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22222"/>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pBdr>
        <w:bottom w:val="single" w:color="2E8B9E" w:sz="6" w:space="4"/>
      </w:pBdr>
      <w:spacing w:after="80" w:before="160"/>
      <w:outlineLvl w:val="0"/>
    </w:pPr>
    <w:rPr>
      <w:rFonts w:ascii="Arial" w:cs="Arial" w:eastAsia="Arial" w:hAnsi="Arial"/>
      <w:b/>
      <w:bCs/>
      <w:color w:val="1F3864"/>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4efaaf7d3f90c8e2b509194df0b3c0a96c893362.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2026-06-15T18:28:13.363Z</dcterms:created>
  <dcterms:modified xsi:type="dcterms:W3CDTF">2026-06-15T18:28:13.363Z</dcterms:modified>
</cp:coreProperties>
</file>

<file path=docProps/custom.xml><?xml version="1.0" encoding="utf-8"?>
<Properties xmlns="http://schemas.openxmlformats.org/officeDocument/2006/custom-properties" xmlns:vt="http://schemas.openxmlformats.org/officeDocument/2006/docPropsVTypes"/>
</file>